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color w:val="auto"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6"/>
          <w:szCs w:val="36"/>
        </w:rPr>
        <w:t>建筑工程</w:t>
      </w:r>
      <w:r>
        <w:rPr>
          <w:rFonts w:hint="eastAsia" w:ascii="仿宋_GB2312" w:hAnsi="仿宋_GB2312" w:eastAsia="仿宋_GB2312" w:cs="仿宋_GB2312"/>
          <w:b/>
          <w:bCs/>
          <w:color w:val="auto"/>
          <w:sz w:val="36"/>
          <w:szCs w:val="36"/>
          <w:lang w:eastAsia="zh-CN"/>
        </w:rPr>
        <w:t>控制价</w:t>
      </w:r>
      <w:r>
        <w:rPr>
          <w:rFonts w:hint="eastAsia" w:ascii="仿宋_GB2312" w:hAnsi="仿宋_GB2312" w:eastAsia="仿宋_GB2312" w:cs="仿宋_GB2312"/>
          <w:b/>
          <w:bCs/>
          <w:color w:val="auto"/>
          <w:sz w:val="36"/>
          <w:szCs w:val="36"/>
        </w:rPr>
        <w:t>编制说明</w:t>
      </w:r>
    </w:p>
    <w:p>
      <w:pPr>
        <w:jc w:val="left"/>
        <w:rPr>
          <w:rFonts w:hint="default" w:ascii="仿宋_GB2312" w:hAnsi="仿宋_GB2312" w:eastAsia="仿宋_GB2312" w:cs="仿宋_GB2312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</w:rPr>
        <w:t>工程名称：</w:t>
      </w:r>
      <w:r>
        <w:rPr>
          <w:rFonts w:hint="eastAsia" w:ascii="仿宋_GB2312" w:hAnsi="仿宋_GB2312" w:eastAsia="仿宋_GB2312" w:cs="仿宋_GB2312"/>
          <w:bCs/>
          <w:color w:val="FF0000"/>
          <w:sz w:val="28"/>
          <w:szCs w:val="28"/>
          <w:lang w:val="en-US" w:eastAsia="zh-CN"/>
        </w:rPr>
        <w:t>莆田学院附属医院肺科北侧路面硬化项目</w:t>
      </w:r>
    </w:p>
    <w:tbl>
      <w:tblPr>
        <w:tblStyle w:val="3"/>
        <w:tblW w:w="9864" w:type="dxa"/>
        <w:tblInd w:w="-5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5" w:hRule="atLeast"/>
        </w:trPr>
        <w:tc>
          <w:tcPr>
            <w:tcW w:w="9864" w:type="dxa"/>
            <w:noWrap w:val="0"/>
            <w:vAlign w:val="top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  <w:t>工程概况</w:t>
            </w:r>
          </w:p>
          <w:p>
            <w:pPr>
              <w:ind w:firstLine="555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1、建设地点：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</w:rPr>
              <w:t>莆田市</w:t>
            </w:r>
          </w:p>
          <w:p>
            <w:pPr>
              <w:ind w:firstLine="555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2、工程专业：</w:t>
            </w:r>
            <w:r>
              <w:rPr>
                <w:rFonts w:hint="eastAsia" w:ascii="仿宋_GB2312" w:hAnsi="仿宋_GB2312" w:eastAsia="仿宋_GB2312" w:cs="仿宋_GB2312"/>
                <w:bCs/>
                <w:color w:val="FF0000"/>
                <w:sz w:val="28"/>
                <w:szCs w:val="28"/>
                <w:u w:val="single"/>
                <w:lang w:eastAsia="zh-CN"/>
              </w:rPr>
              <w:t>市政工程</w:t>
            </w:r>
          </w:p>
          <w:p>
            <w:pPr>
              <w:ind w:left="959" w:leftChars="261" w:hanging="411" w:hangingChars="147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3、工期质量：合同工期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</w:rPr>
              <w:t xml:space="preserve">   天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；工程质量：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</w:rPr>
              <w:t>合格工程</w:t>
            </w:r>
          </w:p>
          <w:p>
            <w:pPr>
              <w:spacing w:line="360" w:lineRule="auto"/>
              <w:ind w:left="959" w:leftChars="261" w:hanging="411" w:hangingChars="147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4、招标范围：</w:t>
            </w:r>
            <w:r>
              <w:rPr>
                <w:rFonts w:hint="eastAsia" w:ascii="仿宋_GB2312" w:hAnsi="仿宋_GB2312" w:eastAsia="仿宋_GB2312" w:cs="仿宋_GB2312"/>
                <w:bCs/>
                <w:color w:val="FF0000"/>
                <w:sz w:val="28"/>
                <w:szCs w:val="28"/>
                <w:u w:val="single"/>
                <w:lang w:val="en-US" w:eastAsia="zh-CN"/>
              </w:rPr>
              <w:t>路面拆除、路面硬化、施工缝、路沿石、埋管、砖砌检查井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  <w:lang w:val="en-US" w:eastAsia="zh-CN"/>
              </w:rPr>
              <w:t>等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；</w:t>
            </w:r>
          </w:p>
          <w:p>
            <w:pPr>
              <w:spacing w:line="360" w:lineRule="auto"/>
              <w:ind w:left="959" w:leftChars="261" w:hanging="411" w:hangingChars="147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5、工程特征：</w:t>
            </w:r>
          </w:p>
          <w:p>
            <w:pPr>
              <w:numPr>
                <w:ilvl w:val="0"/>
                <w:numId w:val="2"/>
              </w:numPr>
              <w:tabs>
                <w:tab w:val="left" w:pos="0"/>
                <w:tab w:val="clear" w:pos="968"/>
              </w:tabs>
              <w:ind w:left="72" w:firstLine="476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场地面积：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</w:rPr>
              <w:t>/；</w:t>
            </w:r>
          </w:p>
          <w:p>
            <w:pPr>
              <w:numPr>
                <w:ilvl w:val="0"/>
                <w:numId w:val="2"/>
              </w:numPr>
              <w:tabs>
                <w:tab w:val="left" w:pos="0"/>
                <w:tab w:val="clear" w:pos="968"/>
              </w:tabs>
              <w:ind w:left="0" w:firstLine="548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-2"/>
                <w:sz w:val="28"/>
                <w:szCs w:val="28"/>
              </w:rPr>
              <w:t>层数及檐口高度：层数及檐口高度：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-2"/>
                <w:sz w:val="28"/>
                <w:szCs w:val="28"/>
                <w:u w:val="single"/>
                <w:lang w:eastAsia="zh-CN"/>
              </w:rPr>
              <w:t>第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-2"/>
                <w:sz w:val="28"/>
                <w:szCs w:val="28"/>
                <w:u w:val="single"/>
                <w:lang w:val="en-US" w:eastAsia="zh-CN"/>
              </w:rPr>
              <w:t>/层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-2"/>
                <w:sz w:val="28"/>
                <w:szCs w:val="28"/>
                <w:u w:val="single"/>
              </w:rPr>
              <w:t>；</w:t>
            </w:r>
          </w:p>
          <w:p>
            <w:pPr>
              <w:numPr>
                <w:ilvl w:val="0"/>
                <w:numId w:val="2"/>
              </w:numPr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-2"/>
                <w:sz w:val="28"/>
                <w:szCs w:val="28"/>
              </w:rPr>
              <w:t>结构质式：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-2"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-2"/>
                <w:sz w:val="28"/>
                <w:szCs w:val="28"/>
              </w:rPr>
              <w:t>；</w:t>
            </w:r>
          </w:p>
          <w:p>
            <w:pPr>
              <w:numPr>
                <w:ilvl w:val="0"/>
                <w:numId w:val="2"/>
              </w:numPr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-2"/>
                <w:sz w:val="28"/>
                <w:szCs w:val="28"/>
              </w:rPr>
              <w:t>基础类型：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pacing w:val="-2"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  <w:t>；</w:t>
            </w:r>
          </w:p>
          <w:p>
            <w:pPr>
              <w:numPr>
                <w:ilvl w:val="0"/>
                <w:numId w:val="2"/>
              </w:numPr>
              <w:tabs>
                <w:tab w:val="left" w:pos="0"/>
                <w:tab w:val="clear" w:pos="968"/>
              </w:tabs>
              <w:spacing w:line="360" w:lineRule="auto"/>
              <w:ind w:left="0" w:firstLine="548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  <w:t>装饰情况：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  <w:t>；</w:t>
            </w:r>
          </w:p>
          <w:p>
            <w:pPr>
              <w:ind w:firstLine="560" w:firstLineChars="200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  <w:t>6）混凝土情况：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  <w:t>；</w:t>
            </w:r>
          </w:p>
          <w:p>
            <w:pPr>
              <w:numPr>
                <w:ilvl w:val="0"/>
                <w:numId w:val="1"/>
              </w:numP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  <w:t>编制范围</w:t>
            </w:r>
          </w:p>
          <w:p>
            <w:pPr>
              <w:ind w:firstLine="560" w:firstLineChars="200"/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按照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  <w:lang w:eastAsia="zh-CN"/>
              </w:rPr>
              <w:t>中联合创设计有限公司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lang w:eastAsia="zh-CN"/>
              </w:rPr>
              <w:t>设计的</w:t>
            </w:r>
            <w:r>
              <w:rPr>
                <w:rFonts w:hint="eastAsia" w:ascii="仿宋_GB2312" w:hAnsi="仿宋_GB2312" w:eastAsia="仿宋_GB2312" w:cs="仿宋_GB2312"/>
                <w:bCs/>
                <w:color w:val="FF0000"/>
                <w:sz w:val="28"/>
                <w:szCs w:val="28"/>
                <w:u w:val="single"/>
                <w:lang w:val="en-US" w:eastAsia="zh-CN"/>
              </w:rPr>
              <w:t>莆田学院附属医院肺科北侧路面硬化项目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的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lang w:eastAsia="zh-CN"/>
              </w:rPr>
              <w:t>图纸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内容，编制范围包括</w:t>
            </w:r>
            <w:r>
              <w:rPr>
                <w:rFonts w:hint="eastAsia" w:ascii="仿宋_GB2312" w:hAnsi="仿宋_GB2312" w:eastAsia="仿宋_GB2312" w:cs="仿宋_GB2312"/>
                <w:bCs/>
                <w:color w:val="FF0000"/>
                <w:sz w:val="28"/>
                <w:szCs w:val="28"/>
                <w:u w:val="single"/>
                <w:lang w:val="en-US" w:eastAsia="zh-CN"/>
              </w:rPr>
              <w:t>路面拆除、路面硬化、施工缝、路沿石、埋管、砖砌检查井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  <w:lang w:val="en-US" w:eastAsia="zh-CN"/>
              </w:rPr>
              <w:t>等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，具体范围如下：</w:t>
            </w:r>
          </w:p>
          <w:p>
            <w:pPr>
              <w:ind w:firstLine="700" w:firstLineChars="250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1、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</w:rPr>
              <w:t>不含三通一平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；</w:t>
            </w:r>
          </w:p>
          <w:p>
            <w:pPr>
              <w:ind w:firstLine="700" w:firstLineChars="250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2、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</w:rPr>
              <w:t>不含室外总体及管网工程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；</w:t>
            </w:r>
          </w:p>
          <w:p>
            <w:pPr>
              <w:ind w:firstLine="700" w:firstLineChars="250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3、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</w:rPr>
              <w:t>不含玻璃幕墙工程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；</w:t>
            </w:r>
          </w:p>
          <w:p>
            <w:pPr>
              <w:ind w:firstLine="700" w:firstLineChars="250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4、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</w:rPr>
              <w:t>不含电梯工程。</w:t>
            </w:r>
          </w:p>
          <w:p>
            <w:pPr>
              <w:numPr>
                <w:ilvl w:val="0"/>
                <w:numId w:val="1"/>
              </w:numP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  <w:t>编制依据</w:t>
            </w:r>
          </w:p>
          <w:p>
            <w:pPr>
              <w:ind w:firstLine="560" w:firstLineChars="200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1、图纸：按照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  <w:lang w:eastAsia="zh-CN"/>
              </w:rPr>
              <w:t>中联合创设计有限公司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lang w:eastAsia="zh-CN"/>
              </w:rPr>
              <w:t>设计的</w:t>
            </w:r>
            <w:r>
              <w:rPr>
                <w:rFonts w:hint="eastAsia" w:ascii="仿宋_GB2312" w:hAnsi="仿宋_GB2312" w:eastAsia="仿宋_GB2312" w:cs="仿宋_GB2312"/>
                <w:bCs/>
                <w:color w:val="FF0000"/>
                <w:sz w:val="28"/>
                <w:szCs w:val="28"/>
                <w:u w:val="single"/>
                <w:lang w:val="en-US" w:eastAsia="zh-CN"/>
              </w:rPr>
              <w:t>莆田学院附属医院肺科北侧路面硬化项目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的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lang w:eastAsia="zh-CN"/>
              </w:rPr>
              <w:t>图纸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内容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，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业主及设计回复函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；</w:t>
            </w:r>
          </w:p>
          <w:p>
            <w:pPr>
              <w:ind w:firstLine="560" w:firstLineChars="200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2、招标文件：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</w:rPr>
              <w:t xml:space="preserve">                         编制的    年    月的招标文件及其工程量清单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；其中存在与现行计价规定不一致的内容：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</w:rPr>
              <w:t xml:space="preserve"> 无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；</w:t>
            </w:r>
          </w:p>
          <w:p>
            <w:pPr>
              <w:ind w:firstLine="560" w:firstLineChars="200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  <w:t>3、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地质勘察报告：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；</w:t>
            </w:r>
          </w:p>
          <w:p>
            <w:pPr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4、计价计量规范：《建设工程工程量清单计价规范》（GB50500-2013）、各专业工程工程量计算规范（GB50854～50862-2013）及现行补充或调整文件（</w:t>
            </w:r>
            <w:r>
              <w:rPr>
                <w:rFonts w:hint="eastAsia" w:ascii="仿宋_GB2312" w:hAnsi="仿宋_GB2312" w:eastAsia="仿宋_GB2312" w:cs="仿宋_GB2312"/>
                <w:bCs/>
                <w:color w:val="FF0000"/>
                <w:sz w:val="28"/>
                <w:szCs w:val="28"/>
              </w:rPr>
              <w:t>截止202</w:t>
            </w:r>
            <w:r>
              <w:rPr>
                <w:rFonts w:hint="eastAsia" w:ascii="仿宋_GB2312" w:hAnsi="仿宋_GB2312" w:eastAsia="仿宋_GB2312" w:cs="仿宋_GB2312"/>
                <w:bCs/>
                <w:color w:val="FF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Cs/>
                <w:color w:val="FF0000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 w:cs="仿宋_GB2312"/>
                <w:bCs/>
                <w:color w:val="FF0000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bCs/>
                <w:color w:val="FF0000"/>
                <w:sz w:val="28"/>
                <w:szCs w:val="28"/>
              </w:rPr>
              <w:t>月</w:t>
            </w:r>
            <w:r>
              <w:rPr>
                <w:rFonts w:hint="eastAsia" w:ascii="仿宋_GB2312" w:hAnsi="仿宋_GB2312" w:eastAsia="仿宋_GB2312" w:cs="仿宋_GB2312"/>
                <w:bCs/>
                <w:color w:val="FF0000"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ascii="仿宋_GB2312" w:hAnsi="仿宋_GB2312" w:eastAsia="仿宋_GB2312" w:cs="仿宋_GB2312"/>
                <w:bCs/>
                <w:color w:val="FF0000"/>
                <w:sz w:val="28"/>
                <w:szCs w:val="28"/>
              </w:rPr>
              <w:t>日以前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）；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5、预算定额：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</w:rPr>
              <w:t>《福建省房屋建筑与装饰工程预算定额》（FJYD-101-2017）、《福建省构筑物工程预算定额》（FJYD-102-2017）、《福建省装配式建筑工程预算定额》（FJYD-103-2017）、《福建省通用安装工程预算定额》（FJYD-301-2017～ FJYD-311-2017）、《福建省市政工程预算定额》（FJYD-401-2017～ FJYD-409-2017）、《福建省园林绿化工程预算定额》（FJYD-501-2017）及现行补充或调整文件（</w:t>
            </w:r>
            <w:r>
              <w:rPr>
                <w:rFonts w:hint="eastAsia" w:ascii="仿宋_GB2312" w:hAnsi="仿宋_GB2312" w:eastAsia="仿宋_GB2312" w:cs="仿宋_GB2312"/>
                <w:bCs/>
                <w:color w:val="FF0000"/>
                <w:sz w:val="28"/>
                <w:szCs w:val="28"/>
                <w:u w:val="single"/>
              </w:rPr>
              <w:t>截止202</w:t>
            </w:r>
            <w:r>
              <w:rPr>
                <w:rFonts w:hint="eastAsia" w:ascii="仿宋_GB2312" w:hAnsi="仿宋_GB2312" w:eastAsia="仿宋_GB2312" w:cs="仿宋_GB2312"/>
                <w:bCs/>
                <w:color w:val="FF0000"/>
                <w:sz w:val="28"/>
                <w:szCs w:val="28"/>
                <w:u w:val="singl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Cs/>
                <w:color w:val="FF0000"/>
                <w:sz w:val="28"/>
                <w:szCs w:val="28"/>
                <w:u w:val="single"/>
              </w:rPr>
              <w:t>年</w:t>
            </w:r>
            <w:r>
              <w:rPr>
                <w:rFonts w:hint="eastAsia" w:ascii="仿宋_GB2312" w:hAnsi="仿宋_GB2312" w:eastAsia="仿宋_GB2312" w:cs="仿宋_GB2312"/>
                <w:bCs/>
                <w:color w:val="FF0000"/>
                <w:sz w:val="28"/>
                <w:szCs w:val="28"/>
                <w:u w:val="single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bCs/>
                <w:color w:val="FF0000"/>
                <w:sz w:val="28"/>
                <w:szCs w:val="28"/>
                <w:u w:val="single"/>
              </w:rPr>
              <w:t>月</w:t>
            </w:r>
            <w:r>
              <w:rPr>
                <w:rFonts w:hint="eastAsia" w:ascii="仿宋_GB2312" w:hAnsi="仿宋_GB2312" w:eastAsia="仿宋_GB2312" w:cs="仿宋_GB2312"/>
                <w:bCs/>
                <w:color w:val="FF0000"/>
                <w:sz w:val="28"/>
                <w:szCs w:val="28"/>
                <w:u w:val="single"/>
                <w:lang w:val="en-US" w:eastAsia="zh-CN"/>
              </w:rPr>
              <w:t>18</w:t>
            </w:r>
            <w:r>
              <w:rPr>
                <w:rFonts w:hint="eastAsia" w:ascii="仿宋_GB2312" w:hAnsi="仿宋_GB2312" w:eastAsia="仿宋_GB2312" w:cs="仿宋_GB2312"/>
                <w:bCs/>
                <w:color w:val="FF0000"/>
                <w:sz w:val="28"/>
                <w:szCs w:val="28"/>
                <w:u w:val="single"/>
              </w:rPr>
              <w:t>日以前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</w:rPr>
              <w:t>）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；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6、费用定额：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</w:rPr>
              <w:t>《福建省建筑安装工程费用定额》（2017版）及现行补充调整文件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；其中，暂列金额：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</w:rPr>
              <w:t>/元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；工程排污费：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</w:rPr>
              <w:t>不计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。</w:t>
            </w:r>
          </w:p>
          <w:p>
            <w:pPr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7、人材机价格：</w:t>
            </w:r>
          </w:p>
          <w:p>
            <w:pPr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（1）人工单价：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</w:rPr>
              <w:t>莆建管[2023]19号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；</w:t>
            </w:r>
          </w:p>
          <w:p>
            <w:pPr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（2）施工机械台班价格：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</w:rPr>
              <w:t>按照《2019年第三季度福建省施工机械台班单价》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；</w:t>
            </w:r>
          </w:p>
          <w:p>
            <w:pPr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（3）材料价格：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</w:rPr>
              <w:t>参考《莆田建设工程造价管理信息》（</w:t>
            </w:r>
            <w:r>
              <w:rPr>
                <w:rFonts w:hint="eastAsia" w:ascii="仿宋_GB2312" w:hAnsi="仿宋_GB2312" w:eastAsia="仿宋_GB2312" w:cs="仿宋_GB2312"/>
                <w:bCs/>
                <w:color w:val="FF0000"/>
                <w:sz w:val="28"/>
                <w:szCs w:val="28"/>
                <w:u w:val="single"/>
              </w:rPr>
              <w:t>202</w:t>
            </w:r>
            <w:r>
              <w:rPr>
                <w:rFonts w:hint="eastAsia" w:ascii="仿宋_GB2312" w:hAnsi="仿宋_GB2312" w:eastAsia="仿宋_GB2312" w:cs="仿宋_GB2312"/>
                <w:bCs/>
                <w:color w:val="FF0000"/>
                <w:sz w:val="28"/>
                <w:szCs w:val="28"/>
                <w:u w:val="singl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Cs/>
                <w:color w:val="FF0000"/>
                <w:sz w:val="28"/>
                <w:szCs w:val="28"/>
                <w:u w:val="single"/>
              </w:rPr>
              <w:t>年</w:t>
            </w:r>
            <w:r>
              <w:rPr>
                <w:rFonts w:hint="eastAsia" w:ascii="仿宋_GB2312" w:hAnsi="仿宋_GB2312" w:eastAsia="仿宋_GB2312" w:cs="仿宋_GB2312"/>
                <w:bCs/>
                <w:color w:val="FF0000"/>
                <w:sz w:val="28"/>
                <w:szCs w:val="28"/>
                <w:u w:val="single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仿宋_GB2312"/>
                <w:bCs/>
                <w:color w:val="FF0000"/>
                <w:sz w:val="28"/>
                <w:szCs w:val="28"/>
                <w:u w:val="single"/>
              </w:rPr>
              <w:t>月</w:t>
            </w:r>
            <w:r>
              <w:rPr>
                <w:rFonts w:hint="eastAsia" w:ascii="仿宋_GB2312" w:hAnsi="仿宋_GB2312" w:eastAsia="仿宋_GB2312" w:cs="仿宋_GB2312"/>
                <w:bCs/>
                <w:color w:val="FF0000"/>
                <w:sz w:val="28"/>
                <w:szCs w:val="28"/>
                <w:u w:val="single"/>
                <w:lang w:eastAsia="zh-CN"/>
              </w:rPr>
              <w:t>份下半月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</w:rPr>
              <w:t>）莆田市信息价、定额基期价格、市场询价（详见询价记录）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  <w:t>取费标准</w:t>
            </w:r>
          </w:p>
          <w:p>
            <w:pPr>
              <w:tabs>
                <w:tab w:val="left" w:pos="432"/>
              </w:tabs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1.专业类别：</w:t>
            </w:r>
            <w:r>
              <w:rPr>
                <w:rFonts w:hint="eastAsia" w:ascii="仿宋_GB2312" w:hAnsi="仿宋_GB2312" w:eastAsia="仿宋_GB2312" w:cs="仿宋_GB2312"/>
                <w:bCs/>
                <w:color w:val="FF0000"/>
                <w:sz w:val="28"/>
                <w:szCs w:val="28"/>
                <w:u w:val="single"/>
                <w:lang w:eastAsia="zh-CN"/>
              </w:rPr>
              <w:t>市政工程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。</w:t>
            </w:r>
          </w:p>
          <w:p>
            <w:pPr>
              <w:tabs>
                <w:tab w:val="left" w:pos="432"/>
              </w:tabs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2.总承包服务费费率：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</w:rPr>
              <w:t xml:space="preserve"> 无 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。</w:t>
            </w:r>
          </w:p>
          <w:p>
            <w:pPr>
              <w:tabs>
                <w:tab w:val="left" w:pos="432"/>
              </w:tabs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3.税率：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</w:rPr>
              <w:t xml:space="preserve">  9%  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。</w:t>
            </w:r>
          </w:p>
          <w:p>
            <w:pPr>
              <w:numPr>
                <w:ilvl w:val="0"/>
                <w:numId w:val="1"/>
              </w:numPr>
              <w:tabs>
                <w:tab w:val="left" w:pos="602"/>
                <w:tab w:val="clear" w:pos="720"/>
              </w:tabs>
              <w:spacing w:line="360" w:lineRule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  <w:t>考虑的施工方法与措施（仅供参考，投标人自行考虑方案、自主报价）</w:t>
            </w:r>
          </w:p>
          <w:p>
            <w:pPr>
              <w:numPr>
                <w:ilvl w:val="0"/>
                <w:numId w:val="3"/>
              </w:numPr>
              <w:spacing w:line="360" w:lineRule="auto"/>
              <w:ind w:left="34" w:leftChars="16" w:firstLine="537" w:firstLineChars="192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土方工程：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考虑机械施工，人工配合按5%计算；回填土按就地取土；多余土方外运按3km计算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</w:rPr>
              <w:t>。</w:t>
            </w:r>
          </w:p>
          <w:p>
            <w:pPr>
              <w:spacing w:line="360" w:lineRule="auto"/>
              <w:ind w:left="437" w:leftChars="208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2、桩基工程：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；</w:t>
            </w:r>
          </w:p>
          <w:p>
            <w:pPr>
              <w:spacing w:line="360" w:lineRule="auto"/>
              <w:ind w:left="34" w:leftChars="16" w:firstLine="537" w:firstLineChars="192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3、环境保护：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；</w:t>
            </w:r>
          </w:p>
          <w:p>
            <w:pPr>
              <w:spacing w:line="360" w:lineRule="auto"/>
              <w:ind w:left="34" w:leftChars="16" w:firstLine="537" w:firstLineChars="192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4、混凝土模板及支架：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；</w:t>
            </w:r>
          </w:p>
          <w:p>
            <w:pPr>
              <w:spacing w:line="360" w:lineRule="auto"/>
              <w:ind w:left="34" w:leftChars="16" w:firstLine="537" w:firstLineChars="192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5、脚手架：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；</w:t>
            </w:r>
          </w:p>
          <w:p>
            <w:pPr>
              <w:spacing w:line="360" w:lineRule="auto"/>
              <w:ind w:left="34" w:leftChars="16" w:firstLine="537" w:firstLineChars="192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6、施工排水、降水：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；</w:t>
            </w:r>
          </w:p>
          <w:p>
            <w:pPr>
              <w:spacing w:line="360" w:lineRule="auto"/>
              <w:ind w:left="34" w:leftChars="16" w:firstLine="537" w:firstLineChars="192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7、垂直运输：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；</w:t>
            </w:r>
          </w:p>
          <w:p>
            <w:pPr>
              <w:spacing w:line="360" w:lineRule="auto"/>
              <w:ind w:left="34" w:leftChars="16" w:firstLine="537" w:firstLineChars="192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8、大型机械设备基础：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</w:rPr>
              <w:t>/；</w:t>
            </w:r>
          </w:p>
          <w:p>
            <w:pPr>
              <w:spacing w:line="360" w:lineRule="auto"/>
              <w:ind w:left="34" w:leftChars="16" w:firstLine="537" w:firstLineChars="192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9、大型机械设备检测：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；</w:t>
            </w:r>
          </w:p>
          <w:p>
            <w:pPr>
              <w:spacing w:line="360" w:lineRule="auto"/>
              <w:ind w:left="34" w:leftChars="16" w:firstLine="537" w:firstLineChars="192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10、大型机械设备进出场及安拆费：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；</w:t>
            </w:r>
          </w:p>
          <w:p>
            <w:pPr>
              <w:spacing w:line="360" w:lineRule="auto"/>
              <w:ind w:left="34" w:leftChars="16" w:firstLine="537" w:firstLineChars="192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11、基坑支护工程拆除：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；</w:t>
            </w:r>
          </w:p>
          <w:p>
            <w:pPr>
              <w:spacing w:line="360" w:lineRule="auto"/>
              <w:ind w:left="34" w:leftChars="16" w:firstLine="537" w:firstLineChars="192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12、非夜间施工照明：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；</w:t>
            </w:r>
          </w:p>
          <w:p>
            <w:pPr>
              <w:spacing w:line="360" w:lineRule="auto"/>
              <w:ind w:left="34" w:leftChars="16" w:firstLine="537" w:firstLineChars="192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13、材料二次搬运：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；</w:t>
            </w:r>
          </w:p>
          <w:p>
            <w:pPr>
              <w:spacing w:line="360" w:lineRule="auto"/>
              <w:ind w:left="34" w:leftChars="16" w:firstLine="537" w:firstLineChars="192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14、其他特殊措施：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</w:rPr>
              <w:t>/；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  <w:t>其他说明</w:t>
            </w:r>
          </w:p>
          <w:p>
            <w:pPr>
              <w:numPr>
                <w:ilvl w:val="0"/>
                <w:numId w:val="4"/>
              </w:numPr>
              <w:bidi w:val="0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经设计回复确认，埋管部分中，h为新建道路厚度；</w:t>
            </w:r>
          </w:p>
          <w:p>
            <w:pPr>
              <w:numPr>
                <w:ilvl w:val="0"/>
                <w:numId w:val="4"/>
              </w:numPr>
              <w:bidi w:val="0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经设计回复确认，砖砌井所用砖的种类规格是240×115×53实心砖 ；</w:t>
            </w:r>
          </w:p>
          <w:p>
            <w:pPr>
              <w:numPr>
                <w:ilvl w:val="0"/>
                <w:numId w:val="4"/>
              </w:numPr>
              <w:bidi w:val="0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经设计回复确认，砖砌流槽所用砖的种类规格，以及所用砂浆强度配比为240×115×53实心砖，1:2水泥砂浆；</w:t>
            </w:r>
          </w:p>
          <w:p>
            <w:pPr>
              <w:numPr>
                <w:ilvl w:val="0"/>
                <w:numId w:val="4"/>
              </w:numPr>
              <w:bidi w:val="0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经设计回复确认，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路面每隔20米是无需做胀缝，仅按图施工缩缝；</w:t>
            </w:r>
          </w:p>
          <w:p>
            <w:pPr>
              <w:numPr>
                <w:ilvl w:val="0"/>
                <w:numId w:val="4"/>
              </w:numPr>
              <w:bidi w:val="0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另有不详，详见预算书。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pacing w:val="-2"/>
                <w:sz w:val="28"/>
                <w:szCs w:val="28"/>
              </w:rPr>
              <w:t>主要材料及设备</w:t>
            </w:r>
          </w:p>
          <w:p>
            <w:pPr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1、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招标人要求的主要材料设备品牌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及本控制价取定情况见下表</w:t>
            </w:r>
          </w:p>
          <w:tbl>
            <w:tblPr>
              <w:tblStyle w:val="3"/>
              <w:tblW w:w="0" w:type="auto"/>
              <w:tblInd w:w="313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424"/>
              <w:gridCol w:w="2537"/>
              <w:gridCol w:w="2268"/>
              <w:gridCol w:w="127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6" w:hRule="atLeast"/>
              </w:trPr>
              <w:tc>
                <w:tcPr>
                  <w:tcW w:w="2424" w:type="dxa"/>
                  <w:noWrap w:val="0"/>
                  <w:vAlign w:val="top"/>
                </w:tcPr>
                <w:p>
                  <w:pPr>
                    <w:spacing w:line="360" w:lineRule="auto"/>
                    <w:rPr>
                      <w:rFonts w:hint="eastAsia" w:ascii="仿宋_GB2312" w:hAnsi="仿宋_GB2312" w:eastAsia="仿宋_GB2312" w:cs="仿宋_GB2312"/>
                      <w:bCs/>
                      <w:color w:val="auto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Cs/>
                      <w:color w:val="auto"/>
                      <w:sz w:val="28"/>
                      <w:szCs w:val="28"/>
                    </w:rPr>
                    <w:t>材料名称</w:t>
                  </w:r>
                </w:p>
              </w:tc>
              <w:tc>
                <w:tcPr>
                  <w:tcW w:w="2537" w:type="dxa"/>
                  <w:noWrap w:val="0"/>
                  <w:vAlign w:val="top"/>
                </w:tcPr>
                <w:p>
                  <w:pPr>
                    <w:spacing w:line="360" w:lineRule="auto"/>
                    <w:rPr>
                      <w:rFonts w:hint="eastAsia" w:ascii="仿宋_GB2312" w:hAnsi="仿宋_GB2312" w:eastAsia="仿宋_GB2312" w:cs="仿宋_GB2312"/>
                      <w:bCs/>
                      <w:color w:val="auto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Cs/>
                      <w:color w:val="auto"/>
                      <w:sz w:val="28"/>
                      <w:szCs w:val="28"/>
                    </w:rPr>
                    <w:t>品牌范围</w:t>
                  </w:r>
                </w:p>
              </w:tc>
              <w:tc>
                <w:tcPr>
                  <w:tcW w:w="2268" w:type="dxa"/>
                  <w:noWrap w:val="0"/>
                  <w:vAlign w:val="top"/>
                </w:tcPr>
                <w:p>
                  <w:pPr>
                    <w:spacing w:line="360" w:lineRule="auto"/>
                    <w:rPr>
                      <w:rFonts w:hint="eastAsia" w:ascii="仿宋_GB2312" w:hAnsi="仿宋_GB2312" w:eastAsia="仿宋_GB2312" w:cs="仿宋_GB2312"/>
                      <w:bCs/>
                      <w:color w:val="auto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Cs/>
                      <w:color w:val="auto"/>
                      <w:sz w:val="28"/>
                      <w:szCs w:val="28"/>
                    </w:rPr>
                    <w:t>控制价取定品牌</w:t>
                  </w:r>
                </w:p>
              </w:tc>
              <w:tc>
                <w:tcPr>
                  <w:tcW w:w="1275" w:type="dxa"/>
                  <w:noWrap w:val="0"/>
                  <w:vAlign w:val="top"/>
                </w:tcPr>
                <w:p>
                  <w:pPr>
                    <w:spacing w:line="360" w:lineRule="auto"/>
                    <w:rPr>
                      <w:rFonts w:hint="eastAsia" w:ascii="仿宋_GB2312" w:hAnsi="仿宋_GB2312" w:eastAsia="仿宋_GB2312" w:cs="仿宋_GB2312"/>
                      <w:bCs/>
                      <w:color w:val="auto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Cs/>
                      <w:color w:val="auto"/>
                      <w:sz w:val="28"/>
                      <w:szCs w:val="28"/>
                    </w:rPr>
                    <w:t>备注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24" w:type="dxa"/>
                  <w:noWrap w:val="0"/>
                  <w:vAlign w:val="center"/>
                </w:tcPr>
                <w:p>
                  <w:pPr>
                    <w:ind w:firstLine="560" w:firstLineChars="200"/>
                    <w:rPr>
                      <w:rFonts w:hint="eastAsia" w:ascii="仿宋_GB2312" w:hAnsi="仿宋_GB2312" w:eastAsia="仿宋_GB2312" w:cs="仿宋_GB2312"/>
                      <w:color w:val="auto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8"/>
                      <w:szCs w:val="28"/>
                    </w:rPr>
                    <w:t>钢筋</w:t>
                  </w:r>
                </w:p>
              </w:tc>
              <w:tc>
                <w:tcPr>
                  <w:tcW w:w="2537" w:type="dxa"/>
                  <w:noWrap w:val="0"/>
                  <w:vAlign w:val="center"/>
                </w:tcPr>
                <w:p>
                  <w:pPr>
                    <w:rPr>
                      <w:rFonts w:hint="eastAsia" w:ascii="仿宋_GB2312" w:hAnsi="仿宋_GB2312" w:eastAsia="仿宋_GB2312" w:cs="仿宋_GB2312"/>
                      <w:color w:val="auto"/>
                      <w:sz w:val="24"/>
                    </w:rPr>
                  </w:pPr>
                  <w:r>
                    <w:rPr>
                      <w:rFonts w:hint="eastAsia" w:ascii="宋体" w:hAnsi="宋体"/>
                      <w:bCs/>
                      <w:sz w:val="28"/>
                      <w:szCs w:val="28"/>
                    </w:rPr>
                    <w:t>三钢、首钢、鞍钢</w:t>
                  </w:r>
                </w:p>
              </w:tc>
              <w:tc>
                <w:tcPr>
                  <w:tcW w:w="2268" w:type="dxa"/>
                  <w:noWrap w:val="0"/>
                  <w:vAlign w:val="center"/>
                </w:tcPr>
                <w:p>
                  <w:pPr>
                    <w:ind w:firstLine="560" w:firstLineChars="200"/>
                    <w:rPr>
                      <w:rFonts w:hint="eastAsia" w:ascii="仿宋_GB2312" w:hAnsi="仿宋_GB2312" w:eastAsia="仿宋_GB2312" w:cs="仿宋_GB2312"/>
                      <w:bCs/>
                      <w:color w:val="auto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Cs/>
                      <w:color w:val="auto"/>
                      <w:sz w:val="28"/>
                      <w:szCs w:val="28"/>
                      <w:lang w:val="en-US" w:eastAsia="zh-CN"/>
                    </w:rPr>
                    <w:t>信息价</w:t>
                  </w:r>
                </w:p>
              </w:tc>
              <w:tc>
                <w:tcPr>
                  <w:tcW w:w="1275" w:type="dxa"/>
                  <w:noWrap w:val="0"/>
                  <w:vAlign w:val="top"/>
                </w:tcPr>
                <w:p>
                  <w:pPr>
                    <w:spacing w:line="360" w:lineRule="auto"/>
                    <w:rPr>
                      <w:rFonts w:hint="eastAsia" w:ascii="仿宋_GB2312" w:hAnsi="仿宋_GB2312" w:eastAsia="仿宋_GB2312" w:cs="仿宋_GB2312"/>
                      <w:bCs/>
                      <w:color w:val="auto"/>
                      <w:sz w:val="28"/>
                      <w:szCs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24" w:type="dxa"/>
                  <w:noWrap w:val="0"/>
                  <w:vAlign w:val="center"/>
                </w:tcPr>
                <w:p>
                  <w:pPr>
                    <w:ind w:firstLine="560" w:firstLineChars="200"/>
                    <w:rPr>
                      <w:rFonts w:hint="eastAsia" w:ascii="宋体" w:hAnsi="宋体" w:cs="宋体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cs="宋体"/>
                      <w:sz w:val="28"/>
                      <w:szCs w:val="28"/>
                    </w:rPr>
                    <w:t>水泥</w:t>
                  </w:r>
                </w:p>
              </w:tc>
              <w:tc>
                <w:tcPr>
                  <w:tcW w:w="2537" w:type="dxa"/>
                  <w:noWrap w:val="0"/>
                  <w:vAlign w:val="center"/>
                </w:tcPr>
                <w:p>
                  <w:pPr>
                    <w:rPr>
                      <w:rFonts w:hint="eastAsia" w:ascii="宋体" w:hAnsi="宋体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cs="宋体"/>
                      <w:sz w:val="28"/>
                      <w:szCs w:val="28"/>
                    </w:rPr>
                    <w:t>金德、建福、岩城</w:t>
                  </w:r>
                </w:p>
              </w:tc>
              <w:tc>
                <w:tcPr>
                  <w:tcW w:w="2268" w:type="dxa"/>
                  <w:noWrap w:val="0"/>
                  <w:vAlign w:val="center"/>
                </w:tcPr>
                <w:p>
                  <w:pPr>
                    <w:ind w:firstLine="560" w:firstLineChars="200"/>
                    <w:rPr>
                      <w:rFonts w:hint="eastAsia" w:ascii="仿宋_GB2312" w:hAnsi="仿宋_GB2312" w:eastAsia="仿宋_GB2312" w:cs="仿宋_GB2312"/>
                      <w:bCs/>
                      <w:color w:val="auto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Cs/>
                      <w:color w:val="auto"/>
                      <w:sz w:val="28"/>
                      <w:szCs w:val="28"/>
                      <w:lang w:val="en-US" w:eastAsia="zh-CN"/>
                    </w:rPr>
                    <w:t>信息价</w:t>
                  </w:r>
                </w:p>
              </w:tc>
              <w:tc>
                <w:tcPr>
                  <w:tcW w:w="1275" w:type="dxa"/>
                  <w:noWrap w:val="0"/>
                  <w:vAlign w:val="top"/>
                </w:tcPr>
                <w:p>
                  <w:pPr>
                    <w:spacing w:line="360" w:lineRule="auto"/>
                    <w:rPr>
                      <w:rFonts w:hint="eastAsia" w:ascii="仿宋_GB2312" w:hAnsi="仿宋_GB2312" w:eastAsia="仿宋_GB2312" w:cs="仿宋_GB2312"/>
                      <w:bCs/>
                      <w:color w:val="auto"/>
                      <w:sz w:val="28"/>
                      <w:szCs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24" w:type="dxa"/>
                  <w:noWrap w:val="0"/>
                  <w:vAlign w:val="center"/>
                </w:tcPr>
                <w:p>
                  <w:pPr>
                    <w:rPr>
                      <w:rFonts w:hint="eastAsia" w:ascii="宋体" w:hAnsi="宋体" w:cs="宋体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cs="宋体"/>
                      <w:sz w:val="28"/>
                      <w:szCs w:val="28"/>
                    </w:rPr>
                    <w:t>HDPE双壁波纹管</w:t>
                  </w:r>
                </w:p>
              </w:tc>
              <w:tc>
                <w:tcPr>
                  <w:tcW w:w="2537" w:type="dxa"/>
                  <w:noWrap w:val="0"/>
                  <w:vAlign w:val="center"/>
                </w:tcPr>
                <w:p>
                  <w:pPr>
                    <w:rPr>
                      <w:rFonts w:hint="eastAsia" w:ascii="宋体" w:hAnsi="宋体"/>
                      <w:bCs/>
                      <w:sz w:val="28"/>
                      <w:szCs w:val="28"/>
                    </w:rPr>
                  </w:pPr>
                  <w:r>
                    <w:rPr>
                      <w:rFonts w:ascii="宋体" w:hAnsi="宋体" w:cs="宋体"/>
                      <w:sz w:val="28"/>
                      <w:szCs w:val="28"/>
                    </w:rPr>
                    <w:t>联塑、</w:t>
                  </w:r>
                  <w:r>
                    <w:rPr>
                      <w:rFonts w:hint="eastAsia" w:ascii="宋体" w:hAnsi="宋体" w:cs="宋体"/>
                      <w:sz w:val="28"/>
                      <w:szCs w:val="28"/>
                    </w:rPr>
                    <w:t>亚通</w:t>
                  </w:r>
                  <w:r>
                    <w:rPr>
                      <w:rFonts w:ascii="宋体" w:hAnsi="宋体" w:cs="宋体"/>
                      <w:sz w:val="28"/>
                      <w:szCs w:val="28"/>
                    </w:rPr>
                    <w:t>、金牛</w:t>
                  </w:r>
                </w:p>
              </w:tc>
              <w:tc>
                <w:tcPr>
                  <w:tcW w:w="2268" w:type="dxa"/>
                  <w:noWrap w:val="0"/>
                  <w:vAlign w:val="center"/>
                </w:tcPr>
                <w:p>
                  <w:pPr>
                    <w:ind w:firstLine="560" w:firstLineChars="200"/>
                    <w:rPr>
                      <w:rFonts w:hint="eastAsia" w:ascii="仿宋_GB2312" w:hAnsi="仿宋_GB2312" w:eastAsia="仿宋_GB2312" w:cs="仿宋_GB2312"/>
                      <w:bCs/>
                      <w:color w:val="auto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Cs/>
                      <w:color w:val="auto"/>
                      <w:sz w:val="28"/>
                      <w:szCs w:val="28"/>
                      <w:lang w:val="en-US" w:eastAsia="zh-CN"/>
                    </w:rPr>
                    <w:t>信息价</w:t>
                  </w:r>
                </w:p>
              </w:tc>
              <w:tc>
                <w:tcPr>
                  <w:tcW w:w="1275" w:type="dxa"/>
                  <w:noWrap w:val="0"/>
                  <w:vAlign w:val="top"/>
                </w:tcPr>
                <w:p>
                  <w:pPr>
                    <w:spacing w:line="360" w:lineRule="auto"/>
                    <w:rPr>
                      <w:rFonts w:hint="eastAsia" w:ascii="仿宋_GB2312" w:hAnsi="仿宋_GB2312" w:eastAsia="仿宋_GB2312" w:cs="仿宋_GB2312"/>
                      <w:bCs/>
                      <w:color w:val="auto"/>
                      <w:sz w:val="28"/>
                      <w:szCs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424" w:type="dxa"/>
                  <w:noWrap w:val="0"/>
                  <w:vAlign w:val="center"/>
                </w:tcPr>
                <w:p>
                  <w:pPr>
                    <w:jc w:val="left"/>
                    <w:rPr>
                      <w:rFonts w:hint="eastAsia" w:ascii="宋体" w:hAnsi="宋体" w:cs="宋体"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cs="宋体"/>
                      <w:sz w:val="28"/>
                      <w:szCs w:val="28"/>
                    </w:rPr>
                    <w:t>PVC-U排水管</w:t>
                  </w:r>
                </w:p>
              </w:tc>
              <w:tc>
                <w:tcPr>
                  <w:tcW w:w="2537" w:type="dxa"/>
                  <w:noWrap w:val="0"/>
                  <w:vAlign w:val="center"/>
                </w:tcPr>
                <w:p>
                  <w:pPr>
                    <w:rPr>
                      <w:rFonts w:hint="eastAsia" w:ascii="宋体" w:hAnsi="宋体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宋体" w:hAnsi="宋体" w:cs="宋体"/>
                      <w:sz w:val="28"/>
                      <w:szCs w:val="28"/>
                    </w:rPr>
                    <w:t>惠塑、集太、</w:t>
                  </w:r>
                  <w:r>
                    <w:rPr>
                      <w:rFonts w:ascii="宋体" w:hAnsi="宋体" w:cs="宋体"/>
                      <w:sz w:val="28"/>
                      <w:szCs w:val="28"/>
                    </w:rPr>
                    <w:t>亚通</w:t>
                  </w:r>
                </w:p>
              </w:tc>
              <w:tc>
                <w:tcPr>
                  <w:tcW w:w="2268" w:type="dxa"/>
                  <w:noWrap w:val="0"/>
                  <w:vAlign w:val="center"/>
                </w:tcPr>
                <w:p>
                  <w:pPr>
                    <w:ind w:firstLine="560" w:firstLineChars="200"/>
                    <w:rPr>
                      <w:rFonts w:hint="eastAsia" w:ascii="仿宋_GB2312" w:hAnsi="仿宋_GB2312" w:eastAsia="仿宋_GB2312" w:cs="仿宋_GB2312"/>
                      <w:bCs/>
                      <w:color w:val="auto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Cs/>
                      <w:color w:val="auto"/>
                      <w:sz w:val="28"/>
                      <w:szCs w:val="28"/>
                      <w:lang w:val="en-US" w:eastAsia="zh-CN"/>
                    </w:rPr>
                    <w:t>信息价</w:t>
                  </w:r>
                </w:p>
              </w:tc>
              <w:tc>
                <w:tcPr>
                  <w:tcW w:w="1275" w:type="dxa"/>
                  <w:noWrap w:val="0"/>
                  <w:vAlign w:val="top"/>
                </w:tcPr>
                <w:p>
                  <w:pPr>
                    <w:spacing w:line="360" w:lineRule="auto"/>
                    <w:rPr>
                      <w:rFonts w:hint="eastAsia" w:ascii="仿宋_GB2312" w:hAnsi="仿宋_GB2312" w:eastAsia="仿宋_GB2312" w:cs="仿宋_GB2312"/>
                      <w:bCs/>
                      <w:color w:val="auto"/>
                      <w:sz w:val="28"/>
                      <w:szCs w:val="28"/>
                    </w:rPr>
                  </w:pPr>
                </w:p>
              </w:tc>
            </w:tr>
          </w:tbl>
          <w:p>
            <w:pPr>
              <w:spacing w:line="360" w:lineRule="auto"/>
              <w:ind w:firstLine="560" w:firstLineChars="200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2、甲供的材料设备及其单价见下表</w:t>
            </w:r>
          </w:p>
          <w:tbl>
            <w:tblPr>
              <w:tblStyle w:val="3"/>
              <w:tblW w:w="0" w:type="auto"/>
              <w:tblInd w:w="313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39"/>
              <w:gridCol w:w="2140"/>
              <w:gridCol w:w="2140"/>
              <w:gridCol w:w="166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98" w:hRule="atLeast"/>
              </w:trPr>
              <w:tc>
                <w:tcPr>
                  <w:tcW w:w="2139" w:type="dxa"/>
                  <w:noWrap w:val="0"/>
                  <w:vAlign w:val="top"/>
                </w:tcPr>
                <w:p>
                  <w:pPr>
                    <w:spacing w:line="360" w:lineRule="auto"/>
                    <w:rPr>
                      <w:rFonts w:hint="eastAsia" w:ascii="仿宋_GB2312" w:hAnsi="仿宋_GB2312" w:eastAsia="仿宋_GB2312" w:cs="仿宋_GB2312"/>
                      <w:bCs/>
                      <w:color w:val="auto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Cs/>
                      <w:color w:val="auto"/>
                      <w:sz w:val="28"/>
                      <w:szCs w:val="28"/>
                    </w:rPr>
                    <w:t>名称</w:t>
                  </w:r>
                </w:p>
              </w:tc>
              <w:tc>
                <w:tcPr>
                  <w:tcW w:w="2140" w:type="dxa"/>
                  <w:noWrap w:val="0"/>
                  <w:vAlign w:val="top"/>
                </w:tcPr>
                <w:p>
                  <w:pPr>
                    <w:spacing w:line="360" w:lineRule="auto"/>
                    <w:rPr>
                      <w:rFonts w:hint="eastAsia" w:ascii="仿宋_GB2312" w:hAnsi="仿宋_GB2312" w:eastAsia="仿宋_GB2312" w:cs="仿宋_GB2312"/>
                      <w:bCs/>
                      <w:color w:val="auto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Cs/>
                      <w:color w:val="auto"/>
                      <w:sz w:val="28"/>
                      <w:szCs w:val="28"/>
                    </w:rPr>
                    <w:t>品牌</w:t>
                  </w:r>
                </w:p>
              </w:tc>
              <w:tc>
                <w:tcPr>
                  <w:tcW w:w="2140" w:type="dxa"/>
                  <w:noWrap w:val="0"/>
                  <w:vAlign w:val="top"/>
                </w:tcPr>
                <w:p>
                  <w:pPr>
                    <w:spacing w:line="360" w:lineRule="auto"/>
                    <w:rPr>
                      <w:rFonts w:hint="eastAsia" w:ascii="仿宋_GB2312" w:hAnsi="仿宋_GB2312" w:eastAsia="仿宋_GB2312" w:cs="仿宋_GB2312"/>
                      <w:bCs/>
                      <w:color w:val="auto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Cs/>
                      <w:color w:val="auto"/>
                      <w:sz w:val="28"/>
                      <w:szCs w:val="28"/>
                    </w:rPr>
                    <w:t>单价</w:t>
                  </w:r>
                </w:p>
              </w:tc>
              <w:tc>
                <w:tcPr>
                  <w:tcW w:w="1661" w:type="dxa"/>
                  <w:noWrap w:val="0"/>
                  <w:vAlign w:val="top"/>
                </w:tcPr>
                <w:p>
                  <w:pPr>
                    <w:spacing w:line="360" w:lineRule="auto"/>
                    <w:rPr>
                      <w:rFonts w:hint="eastAsia" w:ascii="仿宋_GB2312" w:hAnsi="仿宋_GB2312" w:eastAsia="仿宋_GB2312" w:cs="仿宋_GB2312"/>
                      <w:bCs/>
                      <w:color w:val="auto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Cs/>
                      <w:color w:val="auto"/>
                      <w:sz w:val="28"/>
                      <w:szCs w:val="28"/>
                    </w:rPr>
                    <w:t>备注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98" w:hRule="atLeast"/>
              </w:trPr>
              <w:tc>
                <w:tcPr>
                  <w:tcW w:w="2139" w:type="dxa"/>
                  <w:noWrap w:val="0"/>
                  <w:vAlign w:val="top"/>
                </w:tcPr>
                <w:p>
                  <w:pPr>
                    <w:spacing w:line="360" w:lineRule="auto"/>
                    <w:rPr>
                      <w:rFonts w:hint="eastAsia" w:ascii="仿宋_GB2312" w:hAnsi="仿宋_GB2312" w:eastAsia="仿宋_GB2312" w:cs="仿宋_GB2312"/>
                      <w:bCs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2140" w:type="dxa"/>
                  <w:noWrap w:val="0"/>
                  <w:vAlign w:val="top"/>
                </w:tcPr>
                <w:p>
                  <w:pPr>
                    <w:spacing w:line="360" w:lineRule="auto"/>
                    <w:rPr>
                      <w:rFonts w:hint="eastAsia" w:ascii="仿宋_GB2312" w:hAnsi="仿宋_GB2312" w:eastAsia="仿宋_GB2312" w:cs="仿宋_GB2312"/>
                      <w:bCs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2140" w:type="dxa"/>
                  <w:noWrap w:val="0"/>
                  <w:vAlign w:val="top"/>
                </w:tcPr>
                <w:p>
                  <w:pPr>
                    <w:spacing w:line="360" w:lineRule="auto"/>
                    <w:rPr>
                      <w:rFonts w:hint="eastAsia" w:ascii="仿宋_GB2312" w:hAnsi="仿宋_GB2312" w:eastAsia="仿宋_GB2312" w:cs="仿宋_GB2312"/>
                      <w:bCs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1661" w:type="dxa"/>
                  <w:noWrap w:val="0"/>
                  <w:vAlign w:val="top"/>
                </w:tcPr>
                <w:p>
                  <w:pPr>
                    <w:spacing w:line="360" w:lineRule="auto"/>
                    <w:rPr>
                      <w:rFonts w:hint="eastAsia" w:ascii="仿宋_GB2312" w:hAnsi="仿宋_GB2312" w:eastAsia="仿宋_GB2312" w:cs="仿宋_GB2312"/>
                      <w:bCs/>
                      <w:color w:val="auto"/>
                      <w:sz w:val="28"/>
                      <w:szCs w:val="28"/>
                    </w:rPr>
                  </w:pPr>
                </w:p>
              </w:tc>
            </w:tr>
          </w:tbl>
          <w:p>
            <w:pPr>
              <w:spacing w:line="360" w:lineRule="auto"/>
              <w:ind w:left="71" w:leftChars="34" w:firstLine="560" w:firstLineChars="200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3、经市场询价的材料、设备有：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  <w:u w:val="single"/>
                <w:lang w:eastAsia="zh-CN"/>
              </w:rPr>
              <w:t>雨水箅子、球墨铸铁井盖、路缘石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【说明：交代材料设备的品种规格，不需要说明具体价格与来源渠道。询价资料作为招标控制价编制的附件，提供招标人和保存在归档资料中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>备查。投标人自主报价。】</w:t>
            </w:r>
          </w:p>
          <w:p>
            <w:pPr>
              <w:spacing w:line="360" w:lineRule="auto"/>
              <w:ind w:left="597" w:leftChars="217" w:hanging="141" w:hangingChars="50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</w:rPr>
              <w:t>八、本项目补充清单的工程量计算规则及工程内容</w:t>
            </w:r>
          </w:p>
          <w:tbl>
            <w:tblPr>
              <w:tblStyle w:val="3"/>
              <w:tblW w:w="0" w:type="auto"/>
              <w:tblInd w:w="171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76"/>
              <w:gridCol w:w="1417"/>
              <w:gridCol w:w="1843"/>
              <w:gridCol w:w="1219"/>
              <w:gridCol w:w="1758"/>
              <w:gridCol w:w="127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598" w:hRule="atLeast"/>
              </w:trPr>
              <w:tc>
                <w:tcPr>
                  <w:tcW w:w="1276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_GB2312" w:hAnsi="仿宋_GB2312" w:eastAsia="仿宋_GB2312" w:cs="仿宋_GB2312"/>
                      <w:bCs/>
                      <w:color w:val="auto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Cs/>
                      <w:color w:val="auto"/>
                      <w:sz w:val="28"/>
                      <w:szCs w:val="28"/>
                    </w:rPr>
                    <w:t>编码</w:t>
                  </w:r>
                </w:p>
              </w:tc>
              <w:tc>
                <w:tcPr>
                  <w:tcW w:w="1417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_GB2312" w:hAnsi="仿宋_GB2312" w:eastAsia="仿宋_GB2312" w:cs="仿宋_GB2312"/>
                      <w:bCs/>
                      <w:color w:val="auto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Cs/>
                      <w:color w:val="auto"/>
                      <w:sz w:val="28"/>
                      <w:szCs w:val="28"/>
                    </w:rPr>
                    <w:t>名称</w:t>
                  </w:r>
                </w:p>
              </w:tc>
              <w:tc>
                <w:tcPr>
                  <w:tcW w:w="1843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_GB2312" w:hAnsi="仿宋_GB2312" w:eastAsia="仿宋_GB2312" w:cs="仿宋_GB2312"/>
                      <w:bCs/>
                      <w:color w:val="auto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Cs/>
                      <w:color w:val="auto"/>
                      <w:sz w:val="28"/>
                      <w:szCs w:val="28"/>
                    </w:rPr>
                    <w:t>项目特征</w:t>
                  </w:r>
                </w:p>
              </w:tc>
              <w:tc>
                <w:tcPr>
                  <w:tcW w:w="1219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_GB2312" w:hAnsi="仿宋_GB2312" w:eastAsia="仿宋_GB2312" w:cs="仿宋_GB2312"/>
                      <w:bCs/>
                      <w:color w:val="auto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Cs/>
                      <w:color w:val="auto"/>
                      <w:sz w:val="28"/>
                      <w:szCs w:val="28"/>
                    </w:rPr>
                    <w:t>计量单位</w:t>
                  </w:r>
                </w:p>
              </w:tc>
              <w:tc>
                <w:tcPr>
                  <w:tcW w:w="1758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_GB2312" w:hAnsi="仿宋_GB2312" w:eastAsia="仿宋_GB2312" w:cs="仿宋_GB2312"/>
                      <w:bCs/>
                      <w:color w:val="auto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Cs/>
                      <w:color w:val="auto"/>
                      <w:sz w:val="28"/>
                      <w:szCs w:val="28"/>
                    </w:rPr>
                    <w:t>工程量计算规则</w:t>
                  </w:r>
                </w:p>
              </w:tc>
              <w:tc>
                <w:tcPr>
                  <w:tcW w:w="1276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hint="eastAsia" w:ascii="仿宋_GB2312" w:hAnsi="仿宋_GB2312" w:eastAsia="仿宋_GB2312" w:cs="仿宋_GB2312"/>
                      <w:bCs/>
                      <w:color w:val="auto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bCs/>
                      <w:color w:val="auto"/>
                      <w:sz w:val="28"/>
                      <w:szCs w:val="28"/>
                    </w:rPr>
                    <w:t>工程内容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98" w:hRule="atLeast"/>
              </w:trPr>
              <w:tc>
                <w:tcPr>
                  <w:tcW w:w="1276" w:type="dxa"/>
                  <w:noWrap w:val="0"/>
                  <w:vAlign w:val="top"/>
                </w:tcPr>
                <w:p>
                  <w:pPr>
                    <w:spacing w:line="360" w:lineRule="auto"/>
                    <w:rPr>
                      <w:rFonts w:hint="eastAsia" w:ascii="仿宋_GB2312" w:hAnsi="仿宋_GB2312" w:eastAsia="仿宋_GB2312" w:cs="仿宋_GB2312"/>
                      <w:bCs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  <w:noWrap w:val="0"/>
                  <w:vAlign w:val="top"/>
                </w:tcPr>
                <w:p>
                  <w:pPr>
                    <w:spacing w:line="360" w:lineRule="auto"/>
                    <w:rPr>
                      <w:rFonts w:hint="eastAsia" w:ascii="仿宋_GB2312" w:hAnsi="仿宋_GB2312" w:eastAsia="仿宋_GB2312" w:cs="仿宋_GB2312"/>
                      <w:bCs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1843" w:type="dxa"/>
                  <w:noWrap w:val="0"/>
                  <w:vAlign w:val="top"/>
                </w:tcPr>
                <w:p>
                  <w:pPr>
                    <w:spacing w:line="360" w:lineRule="auto"/>
                    <w:rPr>
                      <w:rFonts w:hint="eastAsia" w:ascii="仿宋_GB2312" w:hAnsi="仿宋_GB2312" w:eastAsia="仿宋_GB2312" w:cs="仿宋_GB2312"/>
                      <w:bCs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1219" w:type="dxa"/>
                  <w:noWrap w:val="0"/>
                  <w:vAlign w:val="top"/>
                </w:tcPr>
                <w:p>
                  <w:pPr>
                    <w:spacing w:line="360" w:lineRule="auto"/>
                    <w:rPr>
                      <w:rFonts w:hint="eastAsia" w:ascii="仿宋_GB2312" w:hAnsi="仿宋_GB2312" w:eastAsia="仿宋_GB2312" w:cs="仿宋_GB2312"/>
                      <w:bCs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1758" w:type="dxa"/>
                  <w:noWrap w:val="0"/>
                  <w:vAlign w:val="top"/>
                </w:tcPr>
                <w:p>
                  <w:pPr>
                    <w:spacing w:line="360" w:lineRule="auto"/>
                    <w:rPr>
                      <w:rFonts w:hint="eastAsia" w:ascii="仿宋_GB2312" w:hAnsi="仿宋_GB2312" w:eastAsia="仿宋_GB2312" w:cs="仿宋_GB2312"/>
                      <w:bCs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noWrap w:val="0"/>
                  <w:vAlign w:val="top"/>
                </w:tcPr>
                <w:p>
                  <w:pPr>
                    <w:spacing w:line="360" w:lineRule="auto"/>
                    <w:rPr>
                      <w:rFonts w:hint="eastAsia" w:ascii="仿宋_GB2312" w:hAnsi="仿宋_GB2312" w:eastAsia="仿宋_GB2312" w:cs="仿宋_GB2312"/>
                      <w:bCs/>
                      <w:color w:val="auto"/>
                      <w:sz w:val="28"/>
                      <w:szCs w:val="28"/>
                    </w:rPr>
                  </w:pPr>
                </w:p>
              </w:tc>
            </w:tr>
          </w:tbl>
          <w:p>
            <w:pPr>
              <w:spacing w:line="360" w:lineRule="auto"/>
              <w:ind w:left="596" w:leftChars="217" w:hanging="140" w:hangingChars="50"/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</w:pPr>
          </w:p>
        </w:tc>
      </w:tr>
    </w:tbl>
    <w:p>
      <w:pPr>
        <w:rPr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A9A249"/>
    <w:multiLevelType w:val="singleLevel"/>
    <w:tmpl w:val="88A9A24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3874049B"/>
    <w:multiLevelType w:val="multilevel"/>
    <w:tmpl w:val="3874049B"/>
    <w:lvl w:ilvl="0" w:tentative="0">
      <w:start w:val="1"/>
      <w:numFmt w:val="decimal"/>
      <w:lvlText w:val="%1)"/>
      <w:lvlJc w:val="left"/>
      <w:pPr>
        <w:tabs>
          <w:tab w:val="left" w:pos="968"/>
        </w:tabs>
        <w:ind w:left="968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1388"/>
        </w:tabs>
        <w:ind w:left="1388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08"/>
        </w:tabs>
        <w:ind w:left="1808" w:hanging="420"/>
      </w:pPr>
    </w:lvl>
    <w:lvl w:ilvl="3" w:tentative="0">
      <w:start w:val="1"/>
      <w:numFmt w:val="decimal"/>
      <w:lvlText w:val="%4."/>
      <w:lvlJc w:val="left"/>
      <w:pPr>
        <w:tabs>
          <w:tab w:val="left" w:pos="2228"/>
        </w:tabs>
        <w:ind w:left="2228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48"/>
        </w:tabs>
        <w:ind w:left="2648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68"/>
        </w:tabs>
        <w:ind w:left="3068" w:hanging="420"/>
      </w:pPr>
    </w:lvl>
    <w:lvl w:ilvl="6" w:tentative="0">
      <w:start w:val="1"/>
      <w:numFmt w:val="decimal"/>
      <w:lvlText w:val="%7."/>
      <w:lvlJc w:val="left"/>
      <w:pPr>
        <w:tabs>
          <w:tab w:val="left" w:pos="3488"/>
        </w:tabs>
        <w:ind w:left="3488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08"/>
        </w:tabs>
        <w:ind w:left="3908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28"/>
        </w:tabs>
        <w:ind w:left="4328" w:hanging="420"/>
      </w:pPr>
    </w:lvl>
  </w:abstractNum>
  <w:abstractNum w:abstractNumId="2">
    <w:nsid w:val="480812A7"/>
    <w:multiLevelType w:val="multilevel"/>
    <w:tmpl w:val="480812A7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  <w:b/>
      </w:rPr>
    </w:lvl>
    <w:lvl w:ilvl="1" w:tentative="0">
      <w:start w:val="1"/>
      <w:numFmt w:val="decimal"/>
      <w:lvlText w:val="%2、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5912B557"/>
    <w:multiLevelType w:val="singleLevel"/>
    <w:tmpl w:val="5912B55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FmNmI0Njk4MzY4YmY0YWRjMGE5N2Q3NDI4ZTM1MTIifQ=="/>
  </w:docVars>
  <w:rsids>
    <w:rsidRoot w:val="217E00FF"/>
    <w:rsid w:val="004C68A4"/>
    <w:rsid w:val="0C7A610D"/>
    <w:rsid w:val="0E476A48"/>
    <w:rsid w:val="109701FB"/>
    <w:rsid w:val="13402787"/>
    <w:rsid w:val="15DA2EE5"/>
    <w:rsid w:val="16662C9B"/>
    <w:rsid w:val="16A31797"/>
    <w:rsid w:val="1DE12CCC"/>
    <w:rsid w:val="1FF776C9"/>
    <w:rsid w:val="217E00FF"/>
    <w:rsid w:val="24FC7A9D"/>
    <w:rsid w:val="273765D6"/>
    <w:rsid w:val="2CC44F94"/>
    <w:rsid w:val="2CE624AC"/>
    <w:rsid w:val="2E094826"/>
    <w:rsid w:val="363E2C44"/>
    <w:rsid w:val="3CE36BC9"/>
    <w:rsid w:val="3D330220"/>
    <w:rsid w:val="3E303ECD"/>
    <w:rsid w:val="4071395E"/>
    <w:rsid w:val="46CA0D8B"/>
    <w:rsid w:val="46CC5941"/>
    <w:rsid w:val="47CC0EBE"/>
    <w:rsid w:val="49C66D9C"/>
    <w:rsid w:val="4ED24BEF"/>
    <w:rsid w:val="5A6E6FAB"/>
    <w:rsid w:val="5B292CC7"/>
    <w:rsid w:val="5D2274DE"/>
    <w:rsid w:val="5F4E31D5"/>
    <w:rsid w:val="5FA430B4"/>
    <w:rsid w:val="63B75F57"/>
    <w:rsid w:val="65012E3D"/>
    <w:rsid w:val="663D5CB5"/>
    <w:rsid w:val="6CF774C1"/>
    <w:rsid w:val="72661C62"/>
    <w:rsid w:val="72936E59"/>
    <w:rsid w:val="77A9310D"/>
    <w:rsid w:val="7DAA7CB2"/>
    <w:rsid w:val="7F425C5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1474</Words>
  <Characters>1638</Characters>
  <Lines>0</Lines>
  <Paragraphs>0</Paragraphs>
  <TotalTime>0</TotalTime>
  <ScaleCrop>false</ScaleCrop>
  <LinksUpToDate>false</LinksUpToDate>
  <CharactersWithSpaces>1691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2022-08-29T07:39:00Z</dcterms:created>
  <dc:creator>依旧鞋业支持货到付款</dc:creator>
  <cp:lastModifiedBy>Administrator</cp:lastModifiedBy>
  <cp:lastPrinted>2022-11-28T01:37:00Z</cp:lastPrinted>
  <dcterms:modified xsi:type="dcterms:W3CDTF">2023-10-23T00:55:40Z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CD6D17BB05A64BE291CB71442B512C0E_13</vt:lpwstr>
  </property>
</Properties>
</file>