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DAA7">
      <w:pPr>
        <w:pStyle w:val="2"/>
        <w:widowControl/>
        <w:spacing w:line="4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3D75DD3B">
      <w:pPr>
        <w:pStyle w:val="2"/>
        <w:widowControl/>
        <w:spacing w:line="46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报价函</w:t>
      </w:r>
    </w:p>
    <w:p w14:paraId="65B1B2A0">
      <w:pPr>
        <w:spacing w:line="460" w:lineRule="exact"/>
        <w:rPr>
          <w:rFonts w:hint="eastAsia" w:ascii="宋体" w:hAnsi="宋体" w:cs="宋体"/>
          <w:color w:val="0C0C0C"/>
          <w:kern w:val="0"/>
          <w:sz w:val="24"/>
          <w:lang w:bidi="ar"/>
        </w:rPr>
      </w:pPr>
      <w:r>
        <w:rPr>
          <w:rFonts w:hint="eastAsia" w:ascii="宋体" w:hAnsi="宋体" w:cs="宋体"/>
          <w:color w:val="0C0C0C"/>
          <w:kern w:val="0"/>
          <w:sz w:val="24"/>
          <w:u w:val="single"/>
          <w:lang w:bidi="ar"/>
        </w:rPr>
        <w:t xml:space="preserve">    莆田学院附属医院    </w:t>
      </w:r>
      <w:r>
        <w:rPr>
          <w:rFonts w:hint="eastAsia" w:ascii="宋体" w:hAnsi="宋体" w:cs="宋体"/>
          <w:color w:val="0C0C0C"/>
          <w:kern w:val="0"/>
          <w:sz w:val="24"/>
          <w:lang w:bidi="ar"/>
        </w:rPr>
        <w:t>：</w:t>
      </w:r>
    </w:p>
    <w:p w14:paraId="707C7ECF">
      <w:pPr>
        <w:ind w:firstLine="480" w:firstLineChars="200"/>
        <w:rPr>
          <w:rFonts w:hint="eastAsia" w:hAnsi="宋体" w:cs="宋体"/>
          <w:color w:val="0C0C0C"/>
          <w:kern w:val="0"/>
          <w:sz w:val="24"/>
          <w:lang w:bidi="ar"/>
        </w:rPr>
      </w:pPr>
    </w:p>
    <w:p w14:paraId="593AEB4C">
      <w:pPr>
        <w:widowControl/>
        <w:wordWrap w:val="0"/>
        <w:spacing w:line="520" w:lineRule="exact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hAnsi="宋体" w:cs="宋体"/>
          <w:color w:val="0C0C0C"/>
          <w:kern w:val="0"/>
          <w:sz w:val="24"/>
          <w:lang w:bidi="ar"/>
        </w:rPr>
        <w:t>我方已仔细研究</w:t>
      </w:r>
      <w:r>
        <w:rPr>
          <w:rFonts w:hint="eastAsia" w:hAnsi="宋体" w:cs="宋体"/>
          <w:color w:val="0C0C0C"/>
          <w:kern w:val="0"/>
          <w:sz w:val="24"/>
          <w:u w:val="single"/>
          <w:lang w:bidi="ar"/>
        </w:rPr>
        <w:t xml:space="preserve">                  （项目名称）</w:t>
      </w:r>
      <w:r>
        <w:rPr>
          <w:rFonts w:hint="eastAsia" w:hAnsi="宋体" w:cs="宋体"/>
          <w:color w:val="0C0C0C"/>
          <w:kern w:val="0"/>
          <w:sz w:val="24"/>
          <w:lang w:bidi="ar"/>
        </w:rPr>
        <w:t>的全部内容，愿意以总价人民币（大写）</w:t>
      </w:r>
      <w:r>
        <w:rPr>
          <w:rFonts w:hint="eastAsia" w:hAnsi="宋体" w:cs="宋体"/>
          <w:color w:val="0C0C0C"/>
          <w:kern w:val="0"/>
          <w:sz w:val="24"/>
          <w:u w:val="single"/>
          <w:lang w:bidi="ar"/>
        </w:rPr>
        <w:t xml:space="preserve">             （¥             ）</w:t>
      </w:r>
      <w:r>
        <w:rPr>
          <w:rFonts w:hint="eastAsia" w:hAnsi="宋体" w:cs="宋体"/>
          <w:color w:val="0C0C0C"/>
          <w:kern w:val="0"/>
          <w:sz w:val="24"/>
          <w:lang w:bidi="ar"/>
        </w:rPr>
        <w:t>的报价参加本次的报价活动。</w:t>
      </w:r>
    </w:p>
    <w:p w14:paraId="2776B1E8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27385E62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592F9D14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515D47FF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报价单位名称（盖章）：</w:t>
      </w:r>
    </w:p>
    <w:p w14:paraId="298EFB85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联系人：</w:t>
      </w:r>
    </w:p>
    <w:p w14:paraId="63A90239">
      <w:pPr>
        <w:pStyle w:val="2"/>
        <w:widowControl/>
        <w:spacing w:line="520" w:lineRule="exact"/>
        <w:ind w:firstLine="5760" w:firstLineChars="2400"/>
        <w:rPr>
          <w:rFonts w:hint="eastAsia"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联系电话：</w:t>
      </w:r>
    </w:p>
    <w:p w14:paraId="1448C06C">
      <w:pPr>
        <w:pStyle w:val="2"/>
        <w:widowControl/>
        <w:spacing w:line="520" w:lineRule="exact"/>
        <w:ind w:firstLine="5760" w:firstLineChars="2400"/>
        <w:rPr>
          <w:rFonts w:hint="eastAsia" w:ascii="宋体" w:hAnsi="宋体" w:cs="宋体"/>
          <w:color w:val="000000"/>
          <w:lang w:bidi="ar"/>
        </w:rPr>
      </w:pPr>
    </w:p>
    <w:p w14:paraId="20705E43">
      <w:pPr>
        <w:pStyle w:val="2"/>
        <w:widowControl/>
        <w:spacing w:line="520" w:lineRule="exact"/>
        <w:ind w:firstLine="5760" w:firstLineChars="2400"/>
        <w:rPr>
          <w:rFonts w:hint="eastAsia" w:ascii="宋体" w:hAnsi="宋体" w:cs="宋体"/>
          <w:color w:val="000000"/>
          <w:lang w:bidi="ar"/>
        </w:rPr>
      </w:pPr>
    </w:p>
    <w:p w14:paraId="0B9487AD">
      <w:pPr>
        <w:pStyle w:val="2"/>
        <w:widowControl/>
        <w:spacing w:line="520" w:lineRule="exact"/>
        <w:jc w:val="right"/>
        <w:rPr>
          <w:rFonts w:hint="eastAsia"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日期：2025年   月  日</w:t>
      </w:r>
    </w:p>
    <w:p w14:paraId="7E46E052">
      <w:pPr>
        <w:rPr>
          <w:rFonts w:hint="eastAsia"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br w:type="page"/>
      </w:r>
    </w:p>
    <w:p w14:paraId="79254A42">
      <w:pPr>
        <w:pStyle w:val="2"/>
        <w:widowControl/>
        <w:spacing w:line="520" w:lineRule="exact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附件2：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38"/>
        <w:gridCol w:w="587"/>
        <w:gridCol w:w="716"/>
        <w:gridCol w:w="817"/>
        <w:gridCol w:w="791"/>
        <w:gridCol w:w="1643"/>
        <w:gridCol w:w="1357"/>
        <w:gridCol w:w="1009"/>
        <w:gridCol w:w="1319"/>
      </w:tblGrid>
      <w:tr w14:paraId="72C3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54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A8581B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室内环境污染物检测测点布置统计</w:t>
            </w:r>
          </w:p>
        </w:tc>
      </w:tr>
      <w:tr w14:paraId="71C4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074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楼号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17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建筑性质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BF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层数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71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抽检比例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D41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总自然间数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DC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抽选自然间数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85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抽选房间面积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A3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测点数（房间数*频率）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5D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测点数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4B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测点数合计</w:t>
            </w:r>
          </w:p>
        </w:tc>
      </w:tr>
      <w:tr w14:paraId="675D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46A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8F7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414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B0A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DF2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CF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DC4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17E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A68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67258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55E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68B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751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0F3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1E3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2EE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04B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53E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0FB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F82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63A6E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4D7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F3C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D70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C97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F43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54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268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4AC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8AB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ED7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AA2CB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C7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5287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4E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960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107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759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CF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069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06B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41C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ECDB6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2692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76662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55C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1A6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18C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0E8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445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CE1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624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398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1B8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39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2F9D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备注：</w:t>
            </w:r>
          </w:p>
          <w:p w14:paraId="7DA78E8D">
            <w:pPr>
              <w:jc w:val="left"/>
              <w:rPr>
                <w:rStyle w:val="5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一、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t>自2020年8月</w:t>
            </w:r>
            <w:r>
              <w:rPr>
                <w:rStyle w:val="5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1日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t>起，新规范GB 50325-2020实施，检测内容从五个指标变为七个指标：苯、甲苯、二甲苯、TVOC</w:t>
            </w:r>
            <w:r>
              <w:rPr>
                <w:rStyle w:val="5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t>甲醛、氨、氡，增加甲苯、二甲苯两项要求。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t>二、GB 55016-2021 5.4.2款强制规定：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bidi="ar"/>
              </w:rPr>
              <w:t>抽检数量不得少于房间总数的50%且不少于20间，当房间总数不大于20间时，应全数检测。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t>三、抽样房间数：6.0.12款规定民用建筑工程验收时，应抽检每个建筑单体有代表性的房间。检量不得少于房间总数的 5%，每个建筑单体不得少于3间，当房间总数少于3间时</w:t>
            </w:r>
            <w:r>
              <w:rPr>
                <w:rStyle w:val="5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t>应全数检测。一般住宅建筑的有门卧室、有门厨房、有门卫生间及厅等均可理解为“自然间”，作为基数参与比抽检例计算。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bidi="ar"/>
              </w:rPr>
              <w:t>四、抽样点数：6.0.15款规定，每个房间50平方以下的抽一个测点，50-100的抽2个测点，100-500不少于3个，500-1000不少于5个测点，1000以上每增加1000多1个测点。</w:t>
            </w:r>
          </w:p>
        </w:tc>
      </w:tr>
    </w:tbl>
    <w:p w14:paraId="015369F0">
      <w:pPr>
        <w:pStyle w:val="2"/>
        <w:widowControl/>
        <w:spacing w:line="520" w:lineRule="exact"/>
        <w:rPr>
          <w:rFonts w:hint="eastAsia" w:ascii="宋体" w:hAnsi="宋体" w:cs="宋体"/>
          <w:b/>
          <w:bCs/>
          <w:color w:val="000000"/>
          <w:lang w:bidi="ar"/>
        </w:rPr>
      </w:pPr>
      <w:bookmarkStart w:id="0" w:name="_GoBack"/>
      <w:bookmarkEnd w:id="0"/>
    </w:p>
    <w:p w14:paraId="70923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502A6"/>
    <w:rsid w:val="202502A6"/>
    <w:rsid w:val="6D6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22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31"/>
    <w:basedOn w:val="4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92</Characters>
  <Lines>0</Lines>
  <Paragraphs>0</Paragraphs>
  <TotalTime>0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2025-11-24T10:23:00Z</dcterms:created>
  <dc:creator>陈建飞</dc:creator>
  <cp:lastModifiedBy>陈建飞</cp:lastModifiedBy>
  <dcterms:modified xsi:type="dcterms:W3CDTF">2025-11-24T10:33:38Z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96EB4C27182541A08CCC078EFF475700_11</vt:lpwstr>
  </property>
  <property fmtid="{D5CDD505-2E9C-101B-9397-08002B2CF9AE}" pid="4" name="KSOTemplateDocerSaveRecord">
    <vt:lpwstr>eyJoZGlkIjoiY2RlYzFmM2JiZmU2MjI2YmY2ODI5NDU1NDkyOGM1ZjkiLCJ1c2VySWQiOiI0NTc5OTEyMDMifQ==</vt:lpwstr>
  </property>
</Properties>
</file>