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35F61">
      <w:pPr>
        <w:widowControl/>
        <w:shd w:val="clear" w:color="auto" w:fill="FFFFFF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kern w:val="0"/>
          <w:sz w:val="24"/>
          <w:szCs w:val="24"/>
          <w:highlight w:val="none"/>
          <w:shd w:val="clear" w:color="auto" w:fill="FFFFFF"/>
        </w:rPr>
        <w:t>附件</w:t>
      </w:r>
      <w:r>
        <w:rPr>
          <w:rFonts w:ascii="新宋体" w:hAnsi="新宋体" w:eastAsia="新宋体" w:cs="新宋体"/>
          <w:b/>
          <w:color w:val="auto"/>
          <w:kern w:val="0"/>
          <w:sz w:val="24"/>
          <w:szCs w:val="24"/>
          <w:highlight w:val="none"/>
          <w:shd w:val="clear" w:color="auto" w:fill="FFFFFF"/>
        </w:rPr>
        <w:t>2</w:t>
      </w:r>
      <w:r>
        <w:rPr>
          <w:rFonts w:hint="eastAsia" w:ascii="新宋体" w:hAnsi="新宋体" w:eastAsia="新宋体" w:cs="新宋体"/>
          <w:b/>
          <w:color w:val="auto"/>
          <w:kern w:val="0"/>
          <w:sz w:val="24"/>
          <w:szCs w:val="24"/>
          <w:highlight w:val="none"/>
          <w:shd w:val="clear" w:color="auto" w:fill="FFFFFF"/>
        </w:rPr>
        <w:t>：</w:t>
      </w:r>
    </w:p>
    <w:p w14:paraId="3EEA0D20">
      <w:pPr>
        <w:widowControl/>
        <w:shd w:val="clear"/>
        <w:jc w:val="center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shd w:val="clear"/>
        </w:rPr>
        <w:t>莆田学院附属医院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shd w:val="clear"/>
          <w:lang w:eastAsia="zh-CN"/>
        </w:rPr>
        <w:t>招标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shd w:val="clear"/>
        </w:rPr>
        <w:t>代理机构考核办法（修订）</w:t>
      </w:r>
    </w:p>
    <w:p w14:paraId="59D077F1">
      <w:pPr>
        <w:widowControl/>
        <w:ind w:firstLine="480" w:firstLineChars="20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为进一步加强对入围我院的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招标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代理机构的监督管理，规范采购代理行为，提高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招标代理机构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的服务水平和采购效率，根据财政部《政府采购代理机构管理暂行办法》（财库〔</w:t>
      </w:r>
      <w:r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  <w:t>2018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〕</w:t>
      </w:r>
      <w:r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号）、福建省财政厅《关于规范政府采购代理机构管理的通知》（闽财购函〔</w:t>
      </w:r>
      <w:r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  <w:t>2018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〕</w:t>
      </w:r>
      <w:r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  <w:t>8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号）、莆财购函【2024】3文件等相关规定，结合我院实际情况，制定本办法。</w:t>
      </w:r>
    </w:p>
    <w:p w14:paraId="70DFC2D8">
      <w:pPr>
        <w:widowControl/>
        <w:ind w:firstLine="480" w:firstLineChars="20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第一条  本办法适用于入围并接受我院委托的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招标代理机构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。</w:t>
      </w:r>
    </w:p>
    <w:p w14:paraId="5B6214CA">
      <w:pPr>
        <w:widowControl/>
        <w:ind w:firstLine="480" w:firstLineChars="20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第二条  考核遵循统一标准、客观公正、实事求是的原则。</w:t>
      </w:r>
    </w:p>
    <w:p w14:paraId="09A6AC70">
      <w:pPr>
        <w:widowControl/>
        <w:ind w:firstLine="480" w:firstLineChars="20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第三条  代理机构按以下负面清单内容进行考核，考核不合格的取消当前轮次采购项目代理资格。由招标办负责具体考核的组织工作。</w:t>
      </w:r>
    </w:p>
    <w:p w14:paraId="3666EB86">
      <w:pPr>
        <w:widowControl/>
        <w:ind w:firstLine="480" w:firstLineChars="20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第四条  代理机构负面清单包括以下内容：</w:t>
      </w:r>
    </w:p>
    <w:p w14:paraId="66452E05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（一）因代理机构原因，导致我院委托项目被相关部门责令整改的。</w:t>
      </w:r>
    </w:p>
    <w:p w14:paraId="70165416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（二）因代理机构原因，代理服务与委托协议存在较大偏差的，经招标办提出整改而未整改的。</w:t>
      </w:r>
    </w:p>
    <w:p w14:paraId="4757B4D6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（三）采购计划下达到代理机构，代理机构应在采购需求及采购计划确认后5个工作日内（紧急项目在2个工作日内）编制采购文件初稿，逾期经招标办提醒后2个工作日内仍未完成达到2次的。</w:t>
      </w:r>
    </w:p>
    <w:p w14:paraId="78766894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四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）严格按照规范程序和时间节点完成代理内容，因代理原因，造成的采购延迟或其他损失达到2次的。</w:t>
      </w:r>
    </w:p>
    <w:p w14:paraId="38EC52DD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五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）代理机构原则上应在中标人与我院签订合同后30日内向我院送达整理装订好的招标采购档案，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急需项目在通知时间内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仍未送达达到2次的。</w:t>
      </w:r>
    </w:p>
    <w:p w14:paraId="1332B881">
      <w:pPr>
        <w:widowControl/>
        <w:ind w:firstLine="560"/>
        <w:jc w:val="left"/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六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）代理机构若超过我院约定的招标代理收费标准收取中标服务费，经我院提醒仍不退还差额的。</w:t>
      </w:r>
    </w:p>
    <w:p w14:paraId="5BFC56DC">
      <w:pPr>
        <w:widowControl/>
        <w:ind w:firstLine="560"/>
        <w:jc w:val="left"/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七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）代理机构若未在法定时间内退还投标保证金，经我院提醒仍未退还达到2次的。</w:t>
      </w:r>
    </w:p>
    <w:p w14:paraId="703EB03B">
      <w:pPr>
        <w:widowControl/>
        <w:ind w:firstLine="560"/>
        <w:jc w:val="left"/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八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）代理机构在入围期间评价等级降为C级或被认定为失信企业的，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暂停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本轮代理库代理资格。</w:t>
      </w:r>
    </w:p>
    <w:p w14:paraId="27AE54C5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第五条  代理机构在代理我院采购项目工作中，有以下情形之一的，取消本轮代理库代理资格，且下一轮次不得入围我院代理机构库：</w:t>
      </w:r>
    </w:p>
    <w:p w14:paraId="0B568586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（一）代理机构被上级部门暂停、撤销代理资格的；</w:t>
      </w:r>
    </w:p>
    <w:p w14:paraId="1C31CE48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（二）无正当理由拒绝接受采购项目代理的；</w:t>
      </w:r>
    </w:p>
    <w:p w14:paraId="08857D00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（三）代理我院委托项目过程代理行为违反法律法规的；</w:t>
      </w:r>
    </w:p>
    <w:p w14:paraId="70024283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（四）代理我院委托项目过程因不规范行为被相关部门通报的；</w:t>
      </w:r>
    </w:p>
    <w:p w14:paraId="0CE9A868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（五）不按照规范要求办理代理业务导致项目被废标的；</w:t>
      </w:r>
    </w:p>
    <w:p w14:paraId="30BE0BEE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（六）因代理机构失误对我院造成不良影响或造成损失的；</w:t>
      </w:r>
    </w:p>
    <w:p w14:paraId="593B04BD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（七）代理我院委托项目过程存在隐瞒有关情况、提供虚假材料的；</w:t>
      </w:r>
    </w:p>
    <w:p w14:paraId="6A70019B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（八）相关部门关于规范政府采购代理机构管理的文件中规定的其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他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需要终止协议的情形。</w:t>
      </w:r>
    </w:p>
    <w:p w14:paraId="7723D364">
      <w:pPr>
        <w:widowControl/>
        <w:ind w:firstLine="56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第六条  本办法由招标办负责解释，自公布之日起试行。</w:t>
      </w:r>
    </w:p>
    <w:p w14:paraId="51830518">
      <w:pPr>
        <w:widowControl/>
        <w:ind w:firstLine="5880"/>
        <w:jc w:val="left"/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</w:pPr>
    </w:p>
    <w:p w14:paraId="526AFAA4">
      <w:pPr>
        <w:widowControl/>
        <w:ind w:firstLine="5880"/>
        <w:jc w:val="left"/>
        <w:rPr>
          <w:rFonts w:ascii="新宋体" w:hAnsi="新宋体" w:eastAsia="新宋体" w:cs="新宋体"/>
          <w:color w:val="auto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莆田学院附属医院</w:t>
      </w:r>
    </w:p>
    <w:p w14:paraId="258FB831">
      <w:pPr>
        <w:widowControl/>
        <w:ind w:firstLine="560"/>
        <w:jc w:val="left"/>
      </w:pPr>
      <w:r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  <w:t xml:space="preserve">                                  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ascii="新宋体" w:hAnsi="新宋体" w:eastAsia="新宋体" w:cs="新宋体"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5年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2025-12-19T06:45:03Z</dcterms:created>
  <dc:creator>Administrator</dc:creator>
  <cp:lastModifiedBy>Van.</cp:lastModifiedBy>
  <dcterms:modified xsi:type="dcterms:W3CDTF">2025-12-19T06:45:22Z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eyJoZGlkIjoiMDVkMTg0NTk0MDg3ODQ4MWZiNzEwZDM2YzExMzVkNjUiLCJ1c2VySWQiOiIxMTMzMjg3MzgwIn0=</vt:lpwstr>
  </property>
  <property fmtid="{D5CDD505-2E9C-101B-9397-08002B2CF9AE}" pid="4" name="ICV">
    <vt:lpwstr>0A220B10770545A98BFE37EB07B5AB1E_12</vt:lpwstr>
  </property>
</Properties>
</file>